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ИНФОРМАЦИОННЫЕ МАТЕРИАЛЫ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по проекту внесения изменений в Генеральный план</w:t>
      </w:r>
      <w:r>
        <w:rPr>
          <w:rStyle w:val="Style_1_ch"/>
          <w:rFonts w:ascii="Times New Roman" w:hAnsi="Times New Roman"/>
          <w:b w:val="1"/>
          <w:sz w:val="28"/>
        </w:rPr>
        <w:t xml:space="preserve"> Ленинского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сельского поселения Аксайского района Ростовской области</w:t>
      </w:r>
    </w:p>
    <w:p w14:paraId="05000000">
      <w:pPr>
        <w:widowControl w:val="1"/>
        <w:ind w:firstLine="709"/>
        <w:jc w:val="center"/>
        <w:rPr>
          <w:rFonts w:ascii="Times New Roman" w:hAnsi="Times New Roman"/>
          <w:sz w:val="28"/>
        </w:rPr>
      </w:pPr>
    </w:p>
    <w:p w14:paraId="06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подготовлен на основании предложения физических </w:t>
      </w:r>
      <w:r>
        <w:rPr>
          <w:rFonts w:ascii="Times New Roman" w:hAnsi="Times New Roman"/>
          <w:sz w:val="28"/>
        </w:rPr>
        <w:t>лиц.</w:t>
      </w:r>
    </w:p>
    <w:p w14:paraId="07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Представленный проект включает в себя изменения:</w:t>
      </w:r>
    </w:p>
    <w:p w14:paraId="08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карту функциональных зон;</w:t>
      </w:r>
    </w:p>
    <w:p w14:paraId="09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pacing w:val="0"/>
          <w:sz w:val="28"/>
        </w:rPr>
        <w:t xml:space="preserve"> в </w:t>
      </w:r>
      <w:r>
        <w:rPr>
          <w:rFonts w:ascii="Times New Roman" w:hAnsi="Times New Roman"/>
          <w:sz w:val="28"/>
        </w:rPr>
        <w:t>положение о территориальном планировании</w:t>
      </w:r>
      <w:r>
        <w:rPr>
          <w:rFonts w:ascii="Times New Roman" w:hAnsi="Times New Roman"/>
          <w:sz w:val="28"/>
        </w:rPr>
        <w:t>.</w:t>
      </w:r>
    </w:p>
    <w:p w14:paraId="0A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рассмотрения и анализа предложенных изменений предлагается:</w:t>
      </w:r>
    </w:p>
    <w:p w14:paraId="0B000000">
      <w:pPr>
        <w:widowControl w:val="1"/>
        <w:ind/>
        <w:jc w:val="both"/>
        <w:rPr>
          <w:rFonts w:ascii="Times New Roman" w:hAnsi="Times New Roman"/>
          <w:sz w:val="28"/>
          <w:shd w:fill="FFC38B" w:val="clear"/>
        </w:rPr>
      </w:pPr>
    </w:p>
    <w:p w14:paraId="0C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1.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Fonts w:ascii="Times New Roman" w:hAnsi="Times New Roman"/>
          <w:b w:val="1"/>
          <w:sz w:val="28"/>
        </w:rPr>
        <w:t>Включе</w:t>
      </w:r>
      <w:r>
        <w:rPr>
          <w:rStyle w:val="Style_1_ch"/>
          <w:rFonts w:ascii="Times New Roman" w:hAnsi="Times New Roman"/>
          <w:b w:val="1"/>
          <w:sz w:val="28"/>
        </w:rPr>
        <w:t xml:space="preserve">ние земельных участков </w:t>
      </w:r>
      <w:r>
        <w:rPr>
          <w:rStyle w:val="Style_1_ch"/>
          <w:rFonts w:ascii="Times New Roman" w:hAnsi="Times New Roman"/>
          <w:b w:val="1"/>
          <w:sz w:val="28"/>
        </w:rPr>
        <w:t xml:space="preserve">с кадастровыми номерами </w:t>
      </w:r>
      <w:r>
        <w:rPr>
          <w:rStyle w:val="Style_1_ch"/>
          <w:rFonts w:ascii="Times New Roman" w:hAnsi="Times New Roman"/>
          <w:b w:val="1"/>
          <w:sz w:val="28"/>
        </w:rPr>
        <w:t xml:space="preserve"> 61:02:0600016:4742, 61:02:0600016:4743, 61:02:0600016:4745, 61:02:0600016:5172, 61:02:0600016:5173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>в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с</w:t>
      </w:r>
      <w:r>
        <w:rPr>
          <w:rFonts w:ascii="Times New Roman" w:hAnsi="Times New Roman"/>
          <w:b w:val="1"/>
          <w:color w:val="000000"/>
          <w:sz w:val="28"/>
        </w:rPr>
        <w:t xml:space="preserve">остав функциональной зоны «Производственная зона» </w:t>
      </w:r>
      <w:r>
        <w:rPr>
          <w:rStyle w:val="Style_1_ch"/>
          <w:rFonts w:ascii="Times New Roman" w:hAnsi="Times New Roman"/>
          <w:sz w:val="28"/>
        </w:rPr>
        <w:t>в с</w:t>
      </w:r>
      <w:r>
        <w:rPr>
          <w:rStyle w:val="Style_1_ch"/>
          <w:rFonts w:ascii="Times New Roman" w:hAnsi="Times New Roman"/>
          <w:sz w:val="28"/>
        </w:rPr>
        <w:t>вязи с поступлением в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Комиссию по вопросам градостроительной деятельности при Правительстве Ростовской области (далее – Комиссия)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заявления физических лиц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о</w:t>
      </w:r>
      <w:r>
        <w:rPr>
          <w:rStyle w:val="Style_1_ch"/>
          <w:rFonts w:ascii="Times New Roman" w:hAnsi="Times New Roman"/>
          <w:sz w:val="28"/>
        </w:rPr>
        <w:t> внесении изменений в генеральный план Ленинского сельского поселения Аксайского района Ростовской об</w:t>
      </w:r>
      <w:r>
        <w:rPr>
          <w:rStyle w:val="Style_1_ch"/>
          <w:rFonts w:ascii="Times New Roman" w:hAnsi="Times New Roman"/>
          <w:sz w:val="28"/>
        </w:rPr>
        <w:t>ласти</w:t>
      </w:r>
      <w:r>
        <w:rPr>
          <w:rStyle w:val="Style_1_ch"/>
          <w:rFonts w:ascii="Times New Roman" w:hAnsi="Times New Roman"/>
          <w:sz w:val="28"/>
        </w:rPr>
        <w:t xml:space="preserve"> в</w:t>
      </w:r>
      <w:r>
        <w:rPr>
          <w:rStyle w:val="Style_1_ch"/>
          <w:rFonts w:ascii="Times New Roman" w:hAnsi="Times New Roman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части</w:t>
      </w:r>
      <w:r>
        <w:rPr>
          <w:rStyle w:val="Style_1_ch"/>
          <w:rFonts w:ascii="Times New Roman" w:hAnsi="Times New Roman"/>
          <w:sz w:val="28"/>
        </w:rPr>
        <w:t xml:space="preserve"> включения указанных земельных участков, площадью 32,0 га, </w:t>
      </w:r>
      <w:r>
        <w:rPr>
          <w:rStyle w:val="Style_1_ch"/>
          <w:rFonts w:ascii="Times New Roman" w:hAnsi="Times New Roman"/>
          <w:sz w:val="28"/>
        </w:rPr>
        <w:t>в</w:t>
      </w:r>
      <w:r>
        <w:rPr>
          <w:rStyle w:val="Style_1_ch"/>
          <w:rFonts w:ascii="Times New Roman" w:hAnsi="Times New Roman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состав функциональной</w:t>
      </w:r>
      <w:r>
        <w:rPr>
          <w:rStyle w:val="Style_1_ch"/>
          <w:rFonts w:ascii="Times New Roman" w:hAnsi="Times New Roman"/>
          <w:sz w:val="28"/>
        </w:rPr>
        <w:t xml:space="preserve"> зоны «Производственная зона».</w:t>
      </w:r>
    </w:p>
    <w:p w14:paraId="0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действующему генплану территория относится к зоне</w:t>
      </w:r>
      <w:r>
        <w:rPr>
          <w:rStyle w:val="Style_1_ch"/>
          <w:rFonts w:ascii="Times New Roman" w:hAnsi="Times New Roman"/>
          <w:sz w:val="28"/>
        </w:rPr>
        <w:t xml:space="preserve"> з</w:t>
      </w:r>
      <w:r>
        <w:rPr>
          <w:rStyle w:val="Style_1_ch"/>
          <w:rFonts w:ascii="Times New Roman" w:hAnsi="Times New Roman"/>
          <w:sz w:val="28"/>
        </w:rPr>
        <w:t>астройки индивидуальными жилыми домами</w:t>
      </w:r>
      <w:r>
        <w:rPr>
          <w:rStyle w:val="Style_1_ch"/>
          <w:rFonts w:ascii="Times New Roman" w:hAnsi="Times New Roman"/>
          <w:sz w:val="28"/>
        </w:rPr>
        <w:t>, ф</w:t>
      </w:r>
      <w:r>
        <w:rPr>
          <w:rFonts w:ascii="Times New Roman" w:hAnsi="Times New Roman"/>
          <w:sz w:val="28"/>
        </w:rPr>
        <w:t>ункциональная зона изменяется</w:t>
      </w:r>
      <w:r>
        <w:rPr>
          <w:rFonts w:ascii="Times New Roman" w:hAnsi="Times New Roman"/>
          <w:sz w:val="28"/>
        </w:rPr>
        <w:t xml:space="preserve"> на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зоны</w:t>
      </w:r>
      <w:r>
        <w:rPr>
          <w:rStyle w:val="Style_1_ch"/>
          <w:rFonts w:ascii="Times New Roman" w:hAnsi="Times New Roman"/>
          <w:sz w:val="28"/>
        </w:rPr>
        <w:t xml:space="preserve">  «</w:t>
      </w:r>
      <w:r>
        <w:rPr>
          <w:rStyle w:val="Style_1_ch"/>
          <w:rFonts w:ascii="Times New Roman" w:hAnsi="Times New Roman"/>
          <w:sz w:val="28"/>
        </w:rPr>
        <w:t>п</w:t>
      </w:r>
      <w:r>
        <w:rPr>
          <w:rStyle w:val="Style_1_ch"/>
          <w:rFonts w:ascii="Times New Roman" w:hAnsi="Times New Roman"/>
          <w:sz w:val="28"/>
        </w:rPr>
        <w:t>роизводственная зона»</w:t>
      </w:r>
      <w:r>
        <w:rPr>
          <w:rStyle w:val="Style_1_ch"/>
          <w:rFonts w:ascii="Times New Roman" w:hAnsi="Times New Roman"/>
          <w:sz w:val="28"/>
        </w:rPr>
        <w:t>, «зона т</w:t>
      </w:r>
      <w:r>
        <w:rPr>
          <w:rStyle w:val="Style_1_ch"/>
          <w:rFonts w:ascii="Times New Roman" w:hAnsi="Times New Roman"/>
          <w:sz w:val="28"/>
        </w:rPr>
        <w:t>ранспортной инфраструктуры»</w:t>
      </w:r>
      <w:r>
        <w:rPr>
          <w:rStyle w:val="Style_1_ch"/>
          <w:rFonts w:ascii="Times New Roman" w:hAnsi="Times New Roman"/>
          <w:sz w:val="28"/>
        </w:rPr>
        <w:t xml:space="preserve"> .</w:t>
      </w:r>
    </w:p>
    <w:p w14:paraId="0E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F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2.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b w:val="1"/>
          <w:sz w:val="28"/>
        </w:rPr>
        <w:t>Включе</w:t>
      </w:r>
      <w:r>
        <w:rPr>
          <w:rStyle w:val="Style_1_ch"/>
          <w:rFonts w:ascii="Times New Roman" w:hAnsi="Times New Roman"/>
          <w:b w:val="1"/>
          <w:sz w:val="28"/>
        </w:rPr>
        <w:t>ни</w:t>
      </w:r>
      <w:r>
        <w:rPr>
          <w:rStyle w:val="Style_1_ch"/>
          <w:rFonts w:ascii="Times New Roman" w:hAnsi="Times New Roman"/>
          <w:b w:val="1"/>
          <w:sz w:val="28"/>
        </w:rPr>
        <w:t xml:space="preserve">е </w:t>
      </w:r>
      <w:r>
        <w:rPr>
          <w:rStyle w:val="Style_1_ch"/>
          <w:rFonts w:ascii="Times New Roman" w:hAnsi="Times New Roman"/>
          <w:b w:val="1"/>
          <w:sz w:val="28"/>
        </w:rPr>
        <w:t>территории, которая не стоит на кадастровом учете, без</w:t>
      </w:r>
      <w:r>
        <w:rPr>
          <w:rFonts w:ascii="Times New Roman" w:hAnsi="Times New Roman"/>
          <w:b w:val="1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границ земельных участков, расположенной севернее х. Маяковского, в</w:t>
      </w:r>
      <w:r>
        <w:rPr>
          <w:rFonts w:ascii="Times New Roman" w:hAnsi="Times New Roman"/>
          <w:b w:val="1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границах кадастрового квартала 61:02:0600016 (смежная с земельными участками с кадастровыми номерами: 61:02:0600016:4742, 61:02:0600016:4743, 61:02:0600016:3074, 61:02:0600016:5343, 61:02:0600016:4422, 61:02:0600016:4830, 61:02:0600016</w:t>
      </w:r>
      <w:r>
        <w:rPr>
          <w:rStyle w:val="Style_1_ch"/>
          <w:rFonts w:ascii="Times New Roman" w:hAnsi="Times New Roman"/>
          <w:b w:val="1"/>
          <w:sz w:val="28"/>
        </w:rPr>
        <w:t>:</w:t>
      </w:r>
      <w:r>
        <w:rPr>
          <w:rStyle w:val="Style_1_ch"/>
          <w:rFonts w:ascii="Times New Roman" w:hAnsi="Times New Roman"/>
          <w:b w:val="1"/>
          <w:sz w:val="28"/>
        </w:rPr>
        <w:t xml:space="preserve">4909, 61:02:0600016:3449, 61:02:0600016:1796, 61:02:0600016:2262, 61:02:0600016:1633, 61:02:0600016:30, 61:02:0600016:2473, 61:02:0600016:1786, 61:02:0600016:197) общей площадью </w:t>
      </w:r>
      <w:r>
        <w:rPr>
          <w:rStyle w:val="Style_1_ch"/>
          <w:rFonts w:ascii="Times New Roman" w:hAnsi="Times New Roman"/>
          <w:b w:val="1"/>
          <w:sz w:val="28"/>
        </w:rPr>
        <w:t xml:space="preserve">1,35 </w:t>
      </w:r>
      <w:r>
        <w:rPr>
          <w:rFonts w:ascii="Times New Roman" w:hAnsi="Times New Roman"/>
          <w:b w:val="1"/>
          <w:color w:val="000000"/>
          <w:sz w:val="28"/>
        </w:rPr>
        <w:t>в</w:t>
      </w:r>
      <w:r>
        <w:rPr>
          <w:rFonts w:ascii="Times New Roman" w:hAnsi="Times New Roman"/>
          <w:b w:val="1"/>
          <w:color w:val="000000"/>
          <w:spacing w:val="0"/>
          <w:sz w:val="28"/>
        </w:rPr>
        <w:t> </w:t>
      </w:r>
      <w:r>
        <w:rPr>
          <w:rFonts w:ascii="Times New Roman" w:hAnsi="Times New Roman"/>
          <w:b w:val="1"/>
          <w:color w:val="000000"/>
          <w:sz w:val="28"/>
        </w:rPr>
        <w:t xml:space="preserve">состав функциональной зоны </w:t>
      </w:r>
      <w:r>
        <w:rPr>
          <w:rFonts w:ascii="Times New Roman" w:hAnsi="Times New Roman"/>
          <w:b w:val="1"/>
          <w:color w:val="000000"/>
          <w:sz w:val="28"/>
        </w:rPr>
        <w:t>«</w:t>
      </w:r>
      <w:r>
        <w:rPr>
          <w:rStyle w:val="Style_1_ch"/>
          <w:rFonts w:ascii="Times New Roman" w:hAnsi="Times New Roman"/>
          <w:b w:val="1"/>
          <w:sz w:val="28"/>
        </w:rPr>
        <w:t>Зона транспортной инфраструктуры</w:t>
      </w:r>
      <w:r>
        <w:rPr>
          <w:rFonts w:ascii="Times New Roman" w:hAnsi="Times New Roman"/>
          <w:b w:val="1"/>
          <w:color w:val="000000"/>
          <w:sz w:val="28"/>
        </w:rPr>
        <w:t>»</w:t>
      </w:r>
      <w:r>
        <w:rPr>
          <w:rFonts w:ascii="Times New Roman" w:hAnsi="Times New Roman"/>
          <w:b w:val="0"/>
          <w:color w:val="000000"/>
          <w:sz w:val="28"/>
        </w:rPr>
        <w:t xml:space="preserve"> в целях</w:t>
      </w:r>
      <w:r>
        <w:rPr>
          <w:rStyle w:val="Style_1_ch"/>
          <w:rFonts w:ascii="Times New Roman" w:hAnsi="Times New Roman"/>
          <w:sz w:val="28"/>
        </w:rPr>
        <w:t xml:space="preserve"> размещения планируемой автомобильной дороги общего пользования местного значения муниципального района</w:t>
      </w:r>
      <w:r>
        <w:rPr>
          <w:rStyle w:val="Style_1_ch"/>
          <w:rFonts w:ascii="Times New Roman" w:hAnsi="Times New Roman"/>
          <w:sz w:val="28"/>
        </w:rPr>
        <w:t xml:space="preserve"> в целях решения вопроса транспортного обеспечения</w:t>
      </w:r>
      <w:r>
        <w:rPr>
          <w:rStyle w:val="Style_1_ch"/>
          <w:rFonts w:ascii="Times New Roman" w:hAnsi="Times New Roman"/>
          <w:sz w:val="28"/>
        </w:rPr>
        <w:t xml:space="preserve"> планируемого промышленно-логистического парка.</w:t>
      </w:r>
    </w:p>
    <w:p w14:paraId="10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По действующему генплану территория относится к зоне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сельскохозяйственного использования</w:t>
      </w:r>
      <w:r>
        <w:rPr>
          <w:rStyle w:val="Style_1_ch"/>
          <w:rFonts w:ascii="Times New Roman" w:hAnsi="Times New Roman"/>
          <w:sz w:val="28"/>
        </w:rPr>
        <w:t>, ф</w:t>
      </w:r>
      <w:r>
        <w:rPr>
          <w:rStyle w:val="Style_1_ch"/>
          <w:rFonts w:ascii="Times New Roman" w:hAnsi="Times New Roman"/>
          <w:sz w:val="28"/>
        </w:rPr>
        <w:t>ункциональная зона изменяется</w:t>
      </w:r>
      <w:r>
        <w:rPr>
          <w:rStyle w:val="Style_1_ch"/>
          <w:rFonts w:ascii="Times New Roman" w:hAnsi="Times New Roman"/>
          <w:sz w:val="28"/>
        </w:rPr>
        <w:t xml:space="preserve"> на </w:t>
      </w:r>
      <w:r>
        <w:rPr>
          <w:rStyle w:val="Style_1_ch"/>
          <w:rFonts w:ascii="Times New Roman" w:hAnsi="Times New Roman"/>
          <w:sz w:val="28"/>
        </w:rPr>
        <w:t>зону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  <w:shd w:fill="FFA69B" w:val="clear"/>
        </w:rPr>
        <w:t xml:space="preserve"> </w:t>
      </w:r>
      <w:r>
        <w:rPr>
          <w:rStyle w:val="Style_1_ch"/>
          <w:rFonts w:ascii="Times New Roman" w:hAnsi="Times New Roman"/>
          <w:sz w:val="28"/>
        </w:rPr>
        <w:t>транспортной инфраструктуры</w:t>
      </w:r>
      <w:r>
        <w:rPr>
          <w:rStyle w:val="Style_1_ch"/>
          <w:rFonts w:ascii="Times New Roman" w:hAnsi="Times New Roman"/>
          <w:sz w:val="28"/>
        </w:rPr>
        <w:t>.</w:t>
      </w:r>
    </w:p>
    <w:p w14:paraId="11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</w:p>
    <w:p w14:paraId="12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3.</w:t>
      </w:r>
      <w:r>
        <w:rPr>
          <w:rFonts w:ascii="Times New Roman" w:hAnsi="Times New Roman"/>
          <w:b w:val="1"/>
          <w:spacing w:val="0"/>
          <w:sz w:val="28"/>
        </w:rPr>
        <w:t> </w:t>
      </w:r>
      <w:r>
        <w:rPr>
          <w:rFonts w:ascii="Times New Roman" w:hAnsi="Times New Roman"/>
          <w:b w:val="1"/>
          <w:sz w:val="28"/>
        </w:rPr>
        <w:t>Включе</w:t>
      </w:r>
      <w:r>
        <w:rPr>
          <w:rStyle w:val="Style_1_ch"/>
          <w:rFonts w:ascii="Times New Roman" w:hAnsi="Times New Roman"/>
          <w:b w:val="1"/>
          <w:sz w:val="28"/>
        </w:rPr>
        <w:t>ние</w:t>
      </w:r>
      <w:r>
        <w:rPr>
          <w:rStyle w:val="Style_1_ch"/>
          <w:rFonts w:ascii="Times New Roman" w:hAnsi="Times New Roman"/>
          <w:b w:val="1"/>
          <w:sz w:val="28"/>
        </w:rPr>
        <w:t xml:space="preserve"> территории в границах земельных участков с</w:t>
      </w:r>
      <w:r>
        <w:rPr>
          <w:rFonts w:ascii="Times New Roman" w:hAnsi="Times New Roman"/>
          <w:b w:val="1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кадастровыми номерами: 61:02:0600016:4090 (площадью 0,12 га), 61:02:0600016:3726 (площадью 0,02 га), 61:02:0600016:5008 (площадью 0,001 га)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>в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с</w:t>
      </w:r>
      <w:r>
        <w:rPr>
          <w:rFonts w:ascii="Times New Roman" w:hAnsi="Times New Roman"/>
          <w:b w:val="1"/>
          <w:color w:val="000000"/>
          <w:sz w:val="28"/>
        </w:rPr>
        <w:t>остав функциональной зоны</w:t>
      </w:r>
      <w:r>
        <w:rPr>
          <w:rFonts w:ascii="Times New Roman" w:hAnsi="Times New Roman"/>
          <w:b w:val="1"/>
          <w:color w:val="000000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 xml:space="preserve">«Зона транспортной инфраструктуры» </w:t>
      </w:r>
      <w:r>
        <w:rPr>
          <w:rStyle w:val="Style_1_ch"/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0"/>
          <w:sz w:val="28"/>
        </w:rPr>
        <w:t>целях</w:t>
      </w:r>
      <w:r>
        <w:rPr>
          <w:rStyle w:val="Style_1_ch"/>
          <w:rFonts w:ascii="Times New Roman" w:hAnsi="Times New Roman"/>
          <w:b w:val="0"/>
          <w:sz w:val="28"/>
        </w:rPr>
        <w:t xml:space="preserve"> устройства съезда с автомобильной дороги по ул. Маяковского с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0"/>
          <w:sz w:val="28"/>
        </w:rPr>
        <w:t>пересечением с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0"/>
          <w:sz w:val="28"/>
        </w:rPr>
        <w:t>ул.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0"/>
          <w:sz w:val="28"/>
        </w:rPr>
        <w:t>Почтовая в х. Маяковского</w:t>
      </w:r>
      <w:r>
        <w:rPr>
          <w:rStyle w:val="Style_1_ch"/>
          <w:rFonts w:ascii="Times New Roman" w:hAnsi="Times New Roman"/>
          <w:b w:val="0"/>
          <w:sz w:val="28"/>
        </w:rPr>
        <w:t xml:space="preserve"> Ленинского СП </w:t>
      </w:r>
      <w:r>
        <w:rPr>
          <w:rStyle w:val="Style_1_ch"/>
          <w:rFonts w:ascii="Times New Roman" w:hAnsi="Times New Roman"/>
          <w:b w:val="0"/>
          <w:sz w:val="28"/>
        </w:rPr>
        <w:t>Аксайского</w:t>
      </w:r>
      <w:r>
        <w:rPr>
          <w:rStyle w:val="Style_1_ch"/>
          <w:rFonts w:ascii="Times New Roman" w:hAnsi="Times New Roman"/>
          <w:b w:val="0"/>
          <w:sz w:val="28"/>
        </w:rPr>
        <w:t xml:space="preserve"> района для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Style w:val="Style_1_ch"/>
          <w:rFonts w:ascii="Times New Roman" w:hAnsi="Times New Roman"/>
          <w:b w:val="0"/>
          <w:sz w:val="28"/>
        </w:rPr>
        <w:t>организации подъезда к земельному участку с кадастровым номером 61:02:0600016:5173.</w:t>
      </w:r>
    </w:p>
    <w:p w14:paraId="13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действующему генплану территория относится к зоне</w:t>
      </w:r>
      <w:r>
        <w:rPr>
          <w:rStyle w:val="Style_1_ch"/>
          <w:rFonts w:ascii="Times New Roman" w:hAnsi="Times New Roman"/>
          <w:sz w:val="28"/>
        </w:rPr>
        <w:t xml:space="preserve"> з</w:t>
      </w:r>
      <w:r>
        <w:rPr>
          <w:rStyle w:val="Style_1_ch"/>
          <w:rFonts w:ascii="Times New Roman" w:hAnsi="Times New Roman"/>
          <w:sz w:val="28"/>
        </w:rPr>
        <w:t>астройки индивидуальными жилыми домами</w:t>
      </w:r>
      <w:r>
        <w:rPr>
          <w:rStyle w:val="Style_1_ch"/>
          <w:rFonts w:ascii="Times New Roman" w:hAnsi="Times New Roman"/>
          <w:sz w:val="28"/>
        </w:rPr>
        <w:t>, ф</w:t>
      </w:r>
      <w:r>
        <w:rPr>
          <w:rFonts w:ascii="Times New Roman" w:hAnsi="Times New Roman"/>
          <w:sz w:val="28"/>
        </w:rPr>
        <w:t>ункциональная зона изменяется</w:t>
      </w:r>
      <w:r>
        <w:rPr>
          <w:rFonts w:ascii="Times New Roman" w:hAnsi="Times New Roman"/>
          <w:sz w:val="28"/>
        </w:rPr>
        <w:t xml:space="preserve"> на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зону т</w:t>
      </w:r>
      <w:r>
        <w:rPr>
          <w:rStyle w:val="Style_1_ch"/>
          <w:rFonts w:ascii="Times New Roman" w:hAnsi="Times New Roman"/>
          <w:sz w:val="28"/>
        </w:rPr>
        <w:t>ранспортной инфраструктуры</w:t>
      </w:r>
      <w:r>
        <w:rPr>
          <w:rStyle w:val="Style_1_ch"/>
          <w:rFonts w:ascii="Times New Roman" w:hAnsi="Times New Roman"/>
          <w:sz w:val="28"/>
        </w:rPr>
        <w:t xml:space="preserve"> .</w:t>
      </w:r>
    </w:p>
    <w:p w14:paraId="14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</w:p>
    <w:p w14:paraId="15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4.</w:t>
      </w:r>
      <w:r>
        <w:rPr>
          <w:rFonts w:ascii="Times New Roman" w:hAnsi="Times New Roman"/>
          <w:b w:val="1"/>
          <w:spacing w:val="0"/>
          <w:sz w:val="28"/>
        </w:rPr>
        <w:t> </w:t>
      </w:r>
      <w:r>
        <w:rPr>
          <w:rFonts w:ascii="Times New Roman" w:hAnsi="Times New Roman"/>
          <w:b w:val="1"/>
          <w:sz w:val="28"/>
        </w:rPr>
        <w:t>Включе</w:t>
      </w:r>
      <w:r>
        <w:rPr>
          <w:rStyle w:val="Style_1_ch"/>
          <w:rFonts w:ascii="Times New Roman" w:hAnsi="Times New Roman"/>
          <w:b w:val="1"/>
          <w:sz w:val="28"/>
        </w:rPr>
        <w:t>ние</w:t>
      </w:r>
      <w:r>
        <w:rPr>
          <w:rStyle w:val="Style_1_ch"/>
          <w:rFonts w:ascii="Times New Roman" w:hAnsi="Times New Roman"/>
          <w:b w:val="1"/>
          <w:sz w:val="28"/>
        </w:rPr>
        <w:t xml:space="preserve"> территории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>расположенной в юго-западной части Ленинского СП, в границах земельного участка 61:02:0600016:3818 общей площадью 2,79 га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>в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с</w:t>
      </w:r>
      <w:r>
        <w:rPr>
          <w:rFonts w:ascii="Times New Roman" w:hAnsi="Times New Roman"/>
          <w:b w:val="1"/>
          <w:color w:val="000000"/>
          <w:sz w:val="28"/>
        </w:rPr>
        <w:t>остав функциональной зоны</w:t>
      </w:r>
      <w:r>
        <w:rPr>
          <w:rFonts w:ascii="Times New Roman" w:hAnsi="Times New Roman"/>
          <w:b w:val="1"/>
          <w:color w:val="000000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>«Зона транспортной инфраструктуры»</w:t>
      </w:r>
      <w:r>
        <w:rPr>
          <w:rFonts w:ascii="Times New Roman" w:hAnsi="Times New Roman"/>
          <w:b w:val="1"/>
          <w:color w:val="000000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связи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с поступлением в</w:t>
      </w:r>
      <w:r>
        <w:rPr>
          <w:rStyle w:val="Style_1_ch"/>
          <w:rFonts w:ascii="Times New Roman" w:hAnsi="Times New Roman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Комиссию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заявления физического лица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о</w:t>
      </w:r>
      <w:r>
        <w:rPr>
          <w:rStyle w:val="Style_1_ch"/>
          <w:rFonts w:ascii="Times New Roman" w:hAnsi="Times New Roman"/>
          <w:sz w:val="28"/>
        </w:rPr>
        <w:t> внесении изменений</w:t>
      </w:r>
      <w:r>
        <w:rPr>
          <w:rStyle w:val="Style_1_ch"/>
          <w:rFonts w:ascii="Times New Roman" w:hAnsi="Times New Roman"/>
          <w:sz w:val="28"/>
        </w:rPr>
        <w:t xml:space="preserve"> в генеральный план Ленинского сельского поселения Аксайского района Ростовской об</w:t>
      </w:r>
      <w:r>
        <w:rPr>
          <w:rStyle w:val="Style_1_ch"/>
          <w:rFonts w:ascii="Times New Roman" w:hAnsi="Times New Roman"/>
          <w:sz w:val="28"/>
        </w:rPr>
        <w:t>ласти</w:t>
      </w:r>
      <w:r>
        <w:rPr>
          <w:rStyle w:val="Style_1_ch"/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части</w:t>
      </w:r>
      <w:r>
        <w:rPr>
          <w:rStyle w:val="Style_1_ch"/>
          <w:rFonts w:ascii="Times New Roman" w:hAnsi="Times New Roman"/>
          <w:sz w:val="28"/>
        </w:rPr>
        <w:t xml:space="preserve"> включения указанной территории, </w:t>
      </w:r>
      <w:r>
        <w:rPr>
          <w:rStyle w:val="Style_1_ch"/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состав функциональной зоны «</w:t>
      </w:r>
      <w:r>
        <w:rPr>
          <w:rStyle w:val="Style_1_ch"/>
          <w:rFonts w:ascii="Times New Roman" w:hAnsi="Times New Roman"/>
          <w:sz w:val="28"/>
        </w:rPr>
        <w:t>Зона транспортной инфраструктуры</w:t>
      </w:r>
      <w:r>
        <w:rPr>
          <w:rStyle w:val="Style_1_ch"/>
          <w:rFonts w:ascii="Times New Roman" w:hAnsi="Times New Roman"/>
          <w:sz w:val="28"/>
        </w:rPr>
        <w:t>».</w:t>
      </w:r>
    </w:p>
    <w:p w14:paraId="16000000">
      <w:pPr>
        <w:widowControl w:val="1"/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действующему генплану территория относится к о</w:t>
      </w:r>
      <w:r>
        <w:rPr>
          <w:rStyle w:val="Style_1_ch"/>
          <w:rFonts w:ascii="Times New Roman" w:hAnsi="Times New Roman"/>
          <w:sz w:val="28"/>
        </w:rPr>
        <w:t xml:space="preserve">бщественно-деловой  </w:t>
      </w:r>
      <w:r>
        <w:rPr>
          <w:rFonts w:ascii="Times New Roman" w:hAnsi="Times New Roman"/>
          <w:sz w:val="28"/>
        </w:rPr>
        <w:t>зоне</w:t>
      </w:r>
      <w:r>
        <w:rPr>
          <w:rStyle w:val="Style_1_ch"/>
          <w:rFonts w:ascii="Times New Roman" w:hAnsi="Times New Roman"/>
          <w:sz w:val="28"/>
        </w:rPr>
        <w:t>, ф</w:t>
      </w:r>
      <w:r>
        <w:rPr>
          <w:rFonts w:ascii="Times New Roman" w:hAnsi="Times New Roman"/>
          <w:sz w:val="28"/>
        </w:rPr>
        <w:t>ункциональная зона изменяется</w:t>
      </w:r>
      <w:r>
        <w:rPr>
          <w:rFonts w:ascii="Times New Roman" w:hAnsi="Times New Roman"/>
          <w:sz w:val="28"/>
        </w:rPr>
        <w:t xml:space="preserve"> на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зону т</w:t>
      </w:r>
      <w:r>
        <w:rPr>
          <w:rStyle w:val="Style_1_ch"/>
          <w:rFonts w:ascii="Times New Roman" w:hAnsi="Times New Roman"/>
          <w:sz w:val="28"/>
        </w:rPr>
        <w:t>ранспортной инфраструктуры</w:t>
      </w:r>
      <w:r>
        <w:rPr>
          <w:rStyle w:val="Style_1_ch"/>
          <w:rFonts w:ascii="Times New Roman" w:hAnsi="Times New Roman"/>
          <w:sz w:val="28"/>
        </w:rPr>
        <w:t xml:space="preserve"> .</w:t>
      </w:r>
    </w:p>
    <w:p w14:paraId="17000000">
      <w:pPr>
        <w:pStyle w:val="Style_1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1134" w:gutter="0" w:header="1134" w:left="1304" w:right="73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ind/>
      <w:jc w:val="both"/>
    </w:pPr>
    <w:rPr>
      <w:sz w:val="28"/>
    </w:rPr>
  </w:style>
  <w:style w:default="1" w:styleId="Style_1_ch" w:type="character">
    <w:name w:val="Normal"/>
    <w:link w:val="Style_1"/>
    <w:rPr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sz w:val="28"/>
    </w:rPr>
  </w:style>
  <w:style w:styleId="Style_2_ch" w:type="character">
    <w:name w:val="toc 2"/>
    <w:link w:val="Style_2"/>
    <w:rPr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sz w:val="28"/>
    </w:rPr>
  </w:style>
  <w:style w:styleId="Style_3_ch" w:type="character">
    <w:name w:val="toc 4"/>
    <w:link w:val="Style_3"/>
    <w:rPr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left="1000"/>
    </w:pPr>
    <w:rPr>
      <w:sz w:val="28"/>
    </w:rPr>
  </w:style>
  <w:style w:styleId="Style_4_ch" w:type="character">
    <w:name w:val="toc 6"/>
    <w:link w:val="Style_4"/>
    <w:rPr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left="1200"/>
    </w:pPr>
    <w:rPr>
      <w:sz w:val="28"/>
    </w:rPr>
  </w:style>
  <w:style w:styleId="Style_5_ch" w:type="character">
    <w:name w:val="toc 7"/>
    <w:link w:val="Style_5"/>
    <w:rPr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widowControl w:val="1"/>
      <w:ind w:firstLine="851"/>
      <w:jc w:val="both"/>
    </w:pPr>
    <w:rPr>
      <w:sz w:val="22"/>
    </w:rPr>
  </w:style>
  <w:style w:styleId="Style_7_ch" w:type="character">
    <w:name w:val="Endnote"/>
    <w:link w:val="Style_7"/>
    <w:rPr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b w:val="1"/>
      <w:sz w:val="26"/>
    </w:rPr>
  </w:style>
  <w:style w:styleId="Style_8_ch" w:type="character">
    <w:name w:val="heading 3"/>
    <w:link w:val="Style_8"/>
    <w:rPr>
      <w:b w:val="1"/>
      <w:sz w:val="26"/>
    </w:rPr>
  </w:style>
  <w:style w:styleId="Style_9" w:type="paragraph">
    <w:name w:val="List Paragraph"/>
    <w:basedOn w:val="Style_1"/>
    <w:link w:val="Style_9_ch"/>
    <w:pPr>
      <w:widowControl w:val="1"/>
      <w:spacing w:after="200" w:line="276" w:lineRule="auto"/>
      <w:ind w:left="720"/>
      <w:contextualSpacing w:val="1"/>
      <w:jc w:val="left"/>
    </w:pPr>
    <w:rPr>
      <w:rFonts w:asciiTheme="minorAscii" w:hAnsiTheme="minorHAnsi"/>
      <w:color w:val="000000"/>
      <w:sz w:val="22"/>
    </w:rPr>
  </w:style>
  <w:style w:styleId="Style_9_ch" w:type="character">
    <w:name w:val="List Paragraph"/>
    <w:basedOn w:val="Style_1_ch"/>
    <w:link w:val="Style_9"/>
    <w:rPr>
      <w:rFonts w:asciiTheme="minorAscii" w:hAnsiTheme="minorHAnsi"/>
      <w:color w:val="000000"/>
      <w:sz w:val="22"/>
    </w:rPr>
  </w:style>
  <w:style w:styleId="Style_10" w:type="paragraph">
    <w:name w:val="toc 3"/>
    <w:next w:val="Style_1"/>
    <w:link w:val="Style_10_ch"/>
    <w:uiPriority w:val="39"/>
    <w:pPr>
      <w:widowControl w:val="1"/>
      <w:ind w:left="400"/>
    </w:pPr>
    <w:rPr>
      <w:sz w:val="28"/>
    </w:rPr>
  </w:style>
  <w:style w:styleId="Style_10_ch" w:type="character">
    <w:name w:val="toc 3"/>
    <w:link w:val="Style_10"/>
    <w:rPr>
      <w:sz w:val="28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b w:val="1"/>
      <w:sz w:val="22"/>
    </w:rPr>
  </w:style>
  <w:style w:styleId="Style_11_ch" w:type="character">
    <w:name w:val="heading 5"/>
    <w:link w:val="Style_11"/>
    <w:rPr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b w:val="1"/>
      <w:sz w:val="32"/>
    </w:rPr>
  </w:style>
  <w:style w:styleId="Style_12_ch" w:type="character">
    <w:name w:val="heading 1"/>
    <w:link w:val="Style_12"/>
    <w:rPr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/>
      <w:jc w:val="both"/>
    </w:pPr>
    <w:rPr>
      <w:sz w:val="22"/>
    </w:rPr>
  </w:style>
  <w:style w:styleId="Style_14_ch" w:type="character">
    <w:name w:val="Footnote"/>
    <w:link w:val="Style_14"/>
    <w:rPr>
      <w:sz w:val="22"/>
    </w:rPr>
  </w:style>
  <w:style w:styleId="Style_15" w:type="paragraph">
    <w:name w:val="toc 1"/>
    <w:next w:val="Style_1"/>
    <w:link w:val="Style_15_ch"/>
    <w:uiPriority w:val="39"/>
    <w:rPr>
      <w:b w:val="1"/>
      <w:sz w:val="28"/>
    </w:rPr>
  </w:style>
  <w:style w:styleId="Style_15_ch" w:type="character">
    <w:name w:val="toc 1"/>
    <w:link w:val="Style_15"/>
    <w:rPr>
      <w:b w:val="1"/>
      <w:sz w:val="28"/>
    </w:rPr>
  </w:style>
  <w:style w:styleId="Style_16" w:type="paragraph">
    <w:name w:val="Header and Footer"/>
    <w:link w:val="Style_16_ch"/>
    <w:pPr>
      <w:widowControl w:val="1"/>
      <w:ind/>
      <w:jc w:val="both"/>
    </w:pPr>
    <w:rPr>
      <w:sz w:val="28"/>
    </w:rPr>
  </w:style>
  <w:style w:styleId="Style_16_ch" w:type="character">
    <w:name w:val="Header and Footer"/>
    <w:link w:val="Style_16"/>
    <w:rPr>
      <w:sz w:val="28"/>
    </w:rPr>
  </w:style>
  <w:style w:styleId="Style_17" w:type="paragraph">
    <w:name w:val="Обычный1"/>
    <w:link w:val="Style_17_ch"/>
    <w:rPr>
      <w:rFonts w:ascii="XO Thames" w:hAnsi="XO Thames"/>
      <w:sz w:val="28"/>
    </w:rPr>
  </w:style>
  <w:style w:styleId="Style_17_ch" w:type="character">
    <w:name w:val="Обычный1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widowControl w:val="1"/>
      <w:ind w:left="1600"/>
    </w:pPr>
    <w:rPr>
      <w:sz w:val="28"/>
    </w:rPr>
  </w:style>
  <w:style w:styleId="Style_18_ch" w:type="character">
    <w:name w:val="toc 9"/>
    <w:link w:val="Style_18"/>
    <w:rPr>
      <w:sz w:val="28"/>
    </w:rPr>
  </w:style>
  <w:style w:styleId="Style_19" w:type="paragraph">
    <w:name w:val="toc 8"/>
    <w:next w:val="Style_1"/>
    <w:link w:val="Style_19_ch"/>
    <w:uiPriority w:val="39"/>
    <w:pPr>
      <w:widowControl w:val="1"/>
      <w:ind w:left="1400"/>
    </w:pPr>
    <w:rPr>
      <w:sz w:val="28"/>
    </w:rPr>
  </w:style>
  <w:style w:styleId="Style_19_ch" w:type="character">
    <w:name w:val="toc 8"/>
    <w:link w:val="Style_19"/>
    <w:rPr>
      <w:sz w:val="28"/>
    </w:rPr>
  </w:style>
  <w:style w:styleId="Style_20" w:type="paragraph">
    <w:name w:val="toc 5"/>
    <w:next w:val="Style_1"/>
    <w:link w:val="Style_20_ch"/>
    <w:uiPriority w:val="39"/>
    <w:pPr>
      <w:widowControl w:val="1"/>
      <w:ind w:left="800"/>
    </w:pPr>
    <w:rPr>
      <w:sz w:val="28"/>
    </w:rPr>
  </w:style>
  <w:style w:styleId="Style_20_ch" w:type="character">
    <w:name w:val="toc 5"/>
    <w:link w:val="Style_20"/>
    <w:rPr>
      <w:sz w:val="28"/>
    </w:rPr>
  </w:style>
  <w:style w:styleId="Style_21" w:type="paragraph">
    <w:name w:val="Гиперссылка1"/>
    <w:link w:val="Style_21_ch"/>
    <w:rPr>
      <w:color w:val="0000FF"/>
      <w:u w:val="single"/>
    </w:rPr>
  </w:style>
  <w:style w:styleId="Style_21_ch" w:type="character">
    <w:name w:val="Гиперссылка1"/>
    <w:link w:val="Style_21"/>
    <w:rPr>
      <w:color w:val="0000FF"/>
      <w:u w:val="single"/>
    </w:rPr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i w:val="1"/>
    </w:rPr>
  </w:style>
  <w:style w:styleId="Style_22_ch" w:type="character">
    <w:name w:val="Subtitle"/>
    <w:link w:val="Style_22"/>
    <w:rPr>
      <w:i w:val="1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3_ch" w:type="character">
    <w:name w:val="Title"/>
    <w:link w:val="Style_23"/>
    <w:rPr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b w:val="1"/>
    </w:rPr>
  </w:style>
  <w:style w:styleId="Style_24_ch" w:type="character">
    <w:name w:val="heading 4"/>
    <w:link w:val="Style_24"/>
    <w:rPr>
      <w:b w:val="1"/>
    </w:rPr>
  </w:style>
  <w:style w:styleId="Style_25" w:type="paragraph">
    <w:name w:val="heading 2"/>
    <w:next w:val="Style_1"/>
    <w:link w:val="Style_25_ch"/>
    <w:uiPriority w:val="9"/>
    <w:qFormat/>
    <w:pPr>
      <w:widowControl w:val="1"/>
      <w:spacing w:after="120" w:before="120"/>
      <w:ind/>
      <w:jc w:val="both"/>
      <w:outlineLvl w:val="1"/>
    </w:pPr>
    <w:rPr>
      <w:b w:val="1"/>
      <w:sz w:val="28"/>
    </w:rPr>
  </w:style>
  <w:style w:styleId="Style_25_ch" w:type="character">
    <w:name w:val="heading 2"/>
    <w:link w:val="Style_25"/>
    <w:rPr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2026-07-29T12:32:32Z</dcterms:created>
  <dcterms:modified xsi:type="dcterms:W3CDTF">2026-07-29T12:35:38Z</dcterms:modified>
</cp:coreProperties>
</file>